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b/>
          <w:bCs/>
          <w:color w:val="000000"/>
          <w:sz w:val="21"/>
        </w:rPr>
        <w:t>脐带血造血干细胞治疗技术管理规范（试行）</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为规范脐带血造血干细胞治疗技术的临床应用，保证医疗质量和医疗安全，制定本规范。本规范为技术审核机构对医疗机构申请临床应用脐带血造血干细胞治疗技术进行技术审核的依据，是医疗机构及其医师开展脐带血造血干细胞治疗技术的最低要求。</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本治疗技术管理规范适用于脐带血造血干细胞移植技术。</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一、医疗机构基本要求</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（一）开展脐带血造血干细胞治疗技术的医疗机构应当与其功能、任务相适应，有合法脐带血造血干细胞来源。</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（二）三级综合医院、血液病医院或儿童医院，具有卫生行政部门核准登记的血液内科或儿科专业诊疗科目。</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三级综合医院血液内科开展成人脐带血造血干细胞治疗技术的，还应当具备以下条件：</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）近</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年内独立开展脐带血造血干细胞和（或）同种异基因造血干细胞移植</w:t>
      </w:r>
      <w:r w:rsidRPr="00D1221F">
        <w:rPr>
          <w:rFonts w:ascii="Verdana" w:eastAsia="宋体" w:hAnsi="Verdana" w:cs="宋体"/>
          <w:color w:val="000000"/>
          <w:sz w:val="21"/>
          <w:szCs w:val="21"/>
        </w:rPr>
        <w:t>15</w:t>
      </w:r>
      <w:r w:rsidRPr="00D1221F">
        <w:rPr>
          <w:rFonts w:ascii="Verdana" w:eastAsia="宋体" w:hAnsi="Verdana" w:cs="宋体"/>
          <w:color w:val="000000"/>
          <w:sz w:val="21"/>
          <w:szCs w:val="21"/>
        </w:rPr>
        <w:t>例以上。</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）有</w:t>
      </w:r>
      <w:r w:rsidRPr="00D1221F">
        <w:rPr>
          <w:rFonts w:ascii="Verdana" w:eastAsia="宋体" w:hAnsi="Verdana" w:cs="宋体"/>
          <w:color w:val="000000"/>
          <w:sz w:val="21"/>
          <w:szCs w:val="21"/>
        </w:rPr>
        <w:t>4</w:t>
      </w:r>
      <w:r w:rsidRPr="00D1221F">
        <w:rPr>
          <w:rFonts w:ascii="Verdana" w:eastAsia="宋体" w:hAnsi="Verdana" w:cs="宋体"/>
          <w:color w:val="000000"/>
          <w:sz w:val="21"/>
          <w:szCs w:val="21"/>
        </w:rPr>
        <w:t>张床位以上的百级层流病房，配备病人呼叫系统、心电监护仪、电动吸引器、供氧设施。</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）开展儿童脐带血造血干细胞治疗技术的，还应至少有</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名具有副主任医师以上专业技术职务任职资格的儿科医师。</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三级综合医院儿科开展儿童脐带血造血干细胞治疗技术的，还应当具备以下条件：</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）近</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年内独立开展脐带血造血干细胞和（或）同种异基因造血干细胞移植</w:t>
      </w:r>
      <w:r w:rsidRPr="00D1221F">
        <w:rPr>
          <w:rFonts w:ascii="Verdana" w:eastAsia="宋体" w:hAnsi="Verdana" w:cs="宋体"/>
          <w:color w:val="000000"/>
          <w:sz w:val="21"/>
          <w:szCs w:val="21"/>
        </w:rPr>
        <w:t>10</w:t>
      </w:r>
      <w:r w:rsidRPr="00D1221F">
        <w:rPr>
          <w:rFonts w:ascii="Verdana" w:eastAsia="宋体" w:hAnsi="Verdana" w:cs="宋体"/>
          <w:color w:val="000000"/>
          <w:sz w:val="21"/>
          <w:szCs w:val="21"/>
        </w:rPr>
        <w:t>例以上。</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）有</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张床位以上的百级层流病房，配备病人呼叫系统、心电监护仪、电动吸引器、供氧设施。</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血液病专科医院开展脐带血造血干细胞治疗技术的，还应当具备以下条件：</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）近</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年内独立开展脐带血造血干细胞和（或）同种异基因造血干细胞移植</w:t>
      </w:r>
      <w:r w:rsidRPr="00D1221F">
        <w:rPr>
          <w:rFonts w:ascii="Verdana" w:eastAsia="宋体" w:hAnsi="Verdana" w:cs="宋体"/>
          <w:color w:val="000000"/>
          <w:sz w:val="21"/>
          <w:szCs w:val="21"/>
        </w:rPr>
        <w:t>15</w:t>
      </w:r>
      <w:r w:rsidRPr="00D1221F">
        <w:rPr>
          <w:rFonts w:ascii="Verdana" w:eastAsia="宋体" w:hAnsi="Verdana" w:cs="宋体"/>
          <w:color w:val="000000"/>
          <w:sz w:val="21"/>
          <w:szCs w:val="21"/>
        </w:rPr>
        <w:t>例以上。</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）有</w:t>
      </w:r>
      <w:r w:rsidRPr="00D1221F">
        <w:rPr>
          <w:rFonts w:ascii="Verdana" w:eastAsia="宋体" w:hAnsi="Verdana" w:cs="宋体"/>
          <w:color w:val="000000"/>
          <w:sz w:val="21"/>
          <w:szCs w:val="21"/>
        </w:rPr>
        <w:t>4</w:t>
      </w:r>
      <w:r w:rsidRPr="00D1221F">
        <w:rPr>
          <w:rFonts w:ascii="Verdana" w:eastAsia="宋体" w:hAnsi="Verdana" w:cs="宋体"/>
          <w:color w:val="000000"/>
          <w:sz w:val="21"/>
          <w:szCs w:val="21"/>
        </w:rPr>
        <w:t>张床位以上的百级层流病房，配备病人呼叫系统、心电监护仪、电动吸引器、供氧设施。</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4.</w:t>
      </w:r>
      <w:r w:rsidRPr="00D1221F">
        <w:rPr>
          <w:rFonts w:ascii="Verdana" w:eastAsia="宋体" w:hAnsi="Verdana" w:cs="宋体"/>
          <w:color w:val="000000"/>
          <w:sz w:val="21"/>
          <w:szCs w:val="21"/>
        </w:rPr>
        <w:t>儿童专科医院开展脐带血造血干细胞治疗技术的，还应当具备以下条件：</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）近</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年内独立开展脐带血造血干细胞和（或）同种异基因造血干细胞移植</w:t>
      </w:r>
      <w:r w:rsidRPr="00D1221F">
        <w:rPr>
          <w:rFonts w:ascii="Verdana" w:eastAsia="宋体" w:hAnsi="Verdana" w:cs="宋体"/>
          <w:color w:val="000000"/>
          <w:sz w:val="21"/>
          <w:szCs w:val="21"/>
        </w:rPr>
        <w:t>15</w:t>
      </w:r>
      <w:r w:rsidRPr="00D1221F">
        <w:rPr>
          <w:rFonts w:ascii="Verdana" w:eastAsia="宋体" w:hAnsi="Verdana" w:cs="宋体"/>
          <w:color w:val="000000"/>
          <w:sz w:val="21"/>
          <w:szCs w:val="21"/>
        </w:rPr>
        <w:t>例以上。</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lastRenderedPageBreak/>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）有</w:t>
      </w:r>
      <w:r w:rsidRPr="00D1221F">
        <w:rPr>
          <w:rFonts w:ascii="Verdana" w:eastAsia="宋体" w:hAnsi="Verdana" w:cs="宋体"/>
          <w:color w:val="000000"/>
          <w:sz w:val="21"/>
          <w:szCs w:val="21"/>
        </w:rPr>
        <w:t>4</w:t>
      </w:r>
      <w:r w:rsidRPr="00D1221F">
        <w:rPr>
          <w:rFonts w:ascii="Verdana" w:eastAsia="宋体" w:hAnsi="Verdana" w:cs="宋体"/>
          <w:color w:val="000000"/>
          <w:sz w:val="21"/>
          <w:szCs w:val="21"/>
        </w:rPr>
        <w:t>张床位以上的百级层流病房，配备病人呼叫系统、心电监护仪、电动吸引器、供氧设施。</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（三）其他相关科室。</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开展脐带血造血干细胞治疗技术的，应有质量控制和质量评价措施的实验室或者有固定协作关系的实验室，能够进行脐带血造血干细胞活性检测、有核细胞计数、</w:t>
      </w:r>
      <w:r w:rsidRPr="00D1221F">
        <w:rPr>
          <w:rFonts w:ascii="Verdana" w:eastAsia="宋体" w:hAnsi="Verdana" w:cs="宋体"/>
          <w:color w:val="000000"/>
          <w:sz w:val="21"/>
          <w:szCs w:val="21"/>
        </w:rPr>
        <w:t>CD34</w:t>
      </w:r>
      <w:r w:rsidRPr="00D1221F">
        <w:rPr>
          <w:rFonts w:ascii="Verdana" w:eastAsia="宋体" w:hAnsi="Verdana" w:cs="宋体"/>
          <w:color w:val="000000"/>
          <w:sz w:val="21"/>
          <w:szCs w:val="21"/>
        </w:rPr>
        <w:t>＋细胞计数和</w:t>
      </w:r>
      <w:r w:rsidRPr="00D1221F">
        <w:rPr>
          <w:rFonts w:ascii="Verdana" w:eastAsia="宋体" w:hAnsi="Verdana" w:cs="宋体"/>
          <w:color w:val="000000"/>
          <w:sz w:val="21"/>
          <w:szCs w:val="21"/>
        </w:rPr>
        <w:t>HLA</w:t>
      </w:r>
      <w:r w:rsidRPr="00D1221F">
        <w:rPr>
          <w:rFonts w:ascii="Verdana" w:eastAsia="宋体" w:hAnsi="Verdana" w:cs="宋体"/>
          <w:color w:val="000000"/>
          <w:sz w:val="21"/>
          <w:szCs w:val="21"/>
        </w:rPr>
        <w:t>组织配型，具备免疫抑制剂的血药浓度监测能力。造血干细胞治疗技术所需的相关检验项目参加卫生部指定的室间质量评价机构的室间质量评价并合格。</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有微生物检测及相关诊断检验、血液学和病理学常规检测、细胞遗传学分析条件和能力，或者与具备上述条件和能力的实验室有固定协作关系。</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有病理科或者有固定协作关系的病理科。</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需要全身放射治疗（</w:t>
      </w:r>
      <w:r w:rsidRPr="00D1221F">
        <w:rPr>
          <w:rFonts w:ascii="Verdana" w:eastAsia="宋体" w:hAnsi="Verdana" w:cs="宋体"/>
          <w:color w:val="000000"/>
          <w:sz w:val="21"/>
          <w:szCs w:val="21"/>
        </w:rPr>
        <w:t>TBI</w:t>
      </w:r>
      <w:r w:rsidRPr="00D1221F">
        <w:rPr>
          <w:rFonts w:ascii="Verdana" w:eastAsia="宋体" w:hAnsi="Verdana" w:cs="宋体"/>
          <w:color w:val="000000"/>
          <w:sz w:val="21"/>
          <w:szCs w:val="21"/>
        </w:rPr>
        <w:t>）做预处理时，有放射治疗科或者有固定协作关系的放射治疗科，能够实施分次或者单次全身放射治疗，能够实施放射剂量测量。</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4.</w:t>
      </w:r>
      <w:r w:rsidRPr="00D1221F">
        <w:rPr>
          <w:rFonts w:ascii="Verdana" w:eastAsia="宋体" w:hAnsi="Verdana" w:cs="宋体"/>
          <w:color w:val="000000"/>
          <w:sz w:val="21"/>
          <w:szCs w:val="21"/>
        </w:rPr>
        <w:t>同时开展同种异基因造血干细胞治疗技术的，要符合《非血缘造血干细胞移植技术管理规范》中相关要求。</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二、人员要求</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（一）基本要求。</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小于</w:t>
      </w:r>
      <w:r w:rsidRPr="00D1221F">
        <w:rPr>
          <w:rFonts w:ascii="Verdana" w:eastAsia="宋体" w:hAnsi="Verdana" w:cs="宋体"/>
          <w:color w:val="000000"/>
          <w:sz w:val="21"/>
          <w:szCs w:val="21"/>
        </w:rPr>
        <w:t>10</w:t>
      </w:r>
      <w:r w:rsidRPr="00D1221F">
        <w:rPr>
          <w:rFonts w:ascii="Verdana" w:eastAsia="宋体" w:hAnsi="Verdana" w:cs="宋体"/>
          <w:color w:val="000000"/>
          <w:sz w:val="21"/>
          <w:szCs w:val="21"/>
        </w:rPr>
        <w:t>张百级层流病房床位开展脐带血造血干细胞治疗技术的科室，应配备</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名以上符合造血干细胞治疗技术人员要求的执业医师，并按照护士与床位比</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配备护士。</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大于</w:t>
      </w:r>
      <w:r w:rsidRPr="00D1221F">
        <w:rPr>
          <w:rFonts w:ascii="Verdana" w:eastAsia="宋体" w:hAnsi="Verdana" w:cs="宋体"/>
          <w:color w:val="000000"/>
          <w:sz w:val="21"/>
          <w:szCs w:val="21"/>
        </w:rPr>
        <w:t>10</w:t>
      </w:r>
      <w:r w:rsidRPr="00D1221F">
        <w:rPr>
          <w:rFonts w:ascii="Verdana" w:eastAsia="宋体" w:hAnsi="Verdana" w:cs="宋体"/>
          <w:color w:val="000000"/>
          <w:sz w:val="21"/>
          <w:szCs w:val="21"/>
        </w:rPr>
        <w:t>张百级层流病房床位开展脐带血造血干细胞治疗技术的科室，应配备</w:t>
      </w:r>
      <w:r w:rsidRPr="00D1221F">
        <w:rPr>
          <w:rFonts w:ascii="Verdana" w:eastAsia="宋体" w:hAnsi="Verdana" w:cs="宋体"/>
          <w:color w:val="000000"/>
          <w:sz w:val="21"/>
          <w:szCs w:val="21"/>
        </w:rPr>
        <w:t>5</w:t>
      </w:r>
      <w:r w:rsidRPr="00D1221F">
        <w:rPr>
          <w:rFonts w:ascii="Verdana" w:eastAsia="宋体" w:hAnsi="Verdana" w:cs="宋体"/>
          <w:color w:val="000000"/>
          <w:sz w:val="21"/>
          <w:szCs w:val="21"/>
        </w:rPr>
        <w:t>名以上符合造血干细胞治疗技术人员要求的执业医师，并按照护士与床位比</w:t>
      </w:r>
      <w:r w:rsidRPr="00D1221F">
        <w:rPr>
          <w:rFonts w:ascii="Verdana" w:eastAsia="宋体" w:hAnsi="Verdana" w:cs="宋体"/>
          <w:color w:val="000000"/>
          <w:sz w:val="21"/>
          <w:szCs w:val="21"/>
        </w:rPr>
        <w:t>1.7</w:t>
      </w:r>
      <w:r w:rsidRPr="00D1221F">
        <w:rPr>
          <w:rFonts w:ascii="Verdana" w:eastAsia="宋体" w:hAnsi="Verdana" w:cs="宋体"/>
          <w:color w:val="000000"/>
          <w:sz w:val="21"/>
          <w:szCs w:val="21"/>
        </w:rPr>
        <w:t>：</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配备护士。</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从事脐带血造血干细胞治疗技术的护士须经过造血干细胞移植技术培训。</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（二）脐带血造血干细胞治疗医师。</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取得《医师执业证书》，执业范围为内科或儿科。</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经卫生部或卫生部委托的机构组织的脐带血造血干细胞治疗技术系统培训并考核合格。</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脐带血造血干细胞治疗工作的负责人还应当具有副主任医师以上专业技术职务任职资格，有</w:t>
      </w:r>
      <w:r w:rsidRPr="00D1221F">
        <w:rPr>
          <w:rFonts w:ascii="Verdana" w:eastAsia="宋体" w:hAnsi="Verdana" w:cs="宋体"/>
          <w:color w:val="000000"/>
          <w:sz w:val="21"/>
          <w:szCs w:val="21"/>
        </w:rPr>
        <w:t>10</w:t>
      </w:r>
      <w:r w:rsidRPr="00D1221F">
        <w:rPr>
          <w:rFonts w:ascii="Verdana" w:eastAsia="宋体" w:hAnsi="Verdana" w:cs="宋体"/>
          <w:color w:val="000000"/>
          <w:sz w:val="21"/>
          <w:szCs w:val="21"/>
        </w:rPr>
        <w:t>年以上血液内科或儿科工作经验、参与造血干细胞移植工作</w:t>
      </w:r>
      <w:r w:rsidRPr="00D1221F">
        <w:rPr>
          <w:rFonts w:ascii="Verdana" w:eastAsia="宋体" w:hAnsi="Verdana" w:cs="宋体"/>
          <w:color w:val="000000"/>
          <w:sz w:val="21"/>
          <w:szCs w:val="21"/>
        </w:rPr>
        <w:t>5</w:t>
      </w:r>
      <w:r w:rsidRPr="00D1221F">
        <w:rPr>
          <w:rFonts w:ascii="Verdana" w:eastAsia="宋体" w:hAnsi="Verdana" w:cs="宋体"/>
          <w:color w:val="000000"/>
          <w:sz w:val="21"/>
          <w:szCs w:val="21"/>
        </w:rPr>
        <w:t>年以上，有造血干细胞移植合并症的诊断和处理能力。</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（三）护士。</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取得《护士执业证书》。</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lastRenderedPageBreak/>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经卫生部或卫生部委托的机构组织的造血干细胞移植护理工作培训并考核合格。</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脐带血造血干细胞治疗护理工作负责人还应当有</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年以上造血干细胞移植患者护理经验。</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（四）其他相关卫生专业技术人员。</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经过脐带血造血干细胞治疗技术相关专业系统培训并考核合格。</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三、技术管理基本要求</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（一）严格遵守相关技术操作规范和诊疗指南，根据患者病情、可选择的治疗方案等因素综合判断、因病施治、合理治疗，科学、严格掌握脐带血造血干细胞治疗技术适应症。</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脐带血造血干细胞治疗技术适应症包括：</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遗传性及先天性疾病：骨髓衰竭、血红蛋白病、重症免疫缺陷病、代谢性疾病。</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获得性疾病：</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）恶性疾病：急性白血病、慢性白血病、骨髓增生异常综合征、多发性骨髓瘤、恶性淋巴瘤及其他某些恶性肿瘤。</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Verdana" w:eastAsia="宋体" w:hAnsi="Verdana" w:cs="宋体"/>
          <w:color w:val="000000"/>
          <w:sz w:val="21"/>
          <w:szCs w:val="21"/>
        </w:rPr>
        <w:t>2</w:t>
      </w:r>
      <w:r w:rsidRPr="00D1221F">
        <w:rPr>
          <w:rFonts w:ascii="Verdana" w:eastAsia="宋体" w:hAnsi="Verdana" w:cs="宋体"/>
          <w:color w:val="000000"/>
          <w:sz w:val="21"/>
          <w:szCs w:val="21"/>
        </w:rPr>
        <w:t>）非恶性疾病：重症再生障碍性贫血、重症放射病。</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脐带血造血干细胞治疗技术禁忌证包括：</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宋体" w:eastAsia="宋体" w:hAnsi="宋体" w:cs="宋体" w:hint="eastAsia"/>
          <w:color w:val="000000"/>
          <w:sz w:val="21"/>
          <w:szCs w:val="21"/>
        </w:rPr>
        <w:t>①</w:t>
      </w:r>
      <w:r w:rsidRPr="00D1221F">
        <w:rPr>
          <w:rFonts w:ascii="Verdana" w:eastAsia="宋体" w:hAnsi="Verdana" w:cs="宋体"/>
          <w:color w:val="000000"/>
          <w:sz w:val="21"/>
          <w:szCs w:val="21"/>
        </w:rPr>
        <w:t>有严重的精神病。</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宋体" w:eastAsia="宋体" w:hAnsi="宋体" w:cs="宋体" w:hint="eastAsia"/>
          <w:color w:val="000000"/>
          <w:sz w:val="21"/>
          <w:szCs w:val="21"/>
        </w:rPr>
        <w:t>②</w:t>
      </w:r>
      <w:r w:rsidRPr="00D1221F">
        <w:rPr>
          <w:rFonts w:ascii="Verdana" w:eastAsia="宋体" w:hAnsi="Verdana" w:cs="宋体"/>
          <w:color w:val="000000"/>
          <w:sz w:val="21"/>
          <w:szCs w:val="21"/>
        </w:rPr>
        <w:t>有严重的心、肝、肾、肺功能不全。</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宋体" w:eastAsia="宋体" w:hAnsi="宋体" w:cs="宋体" w:hint="eastAsia"/>
          <w:color w:val="000000"/>
          <w:sz w:val="21"/>
          <w:szCs w:val="21"/>
        </w:rPr>
        <w:t>③</w:t>
      </w:r>
      <w:r w:rsidRPr="00D1221F">
        <w:rPr>
          <w:rFonts w:ascii="Verdana" w:eastAsia="宋体" w:hAnsi="Verdana" w:cs="宋体"/>
          <w:color w:val="000000"/>
          <w:sz w:val="21"/>
          <w:szCs w:val="21"/>
        </w:rPr>
        <w:t>有不能控制的严重感染。</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宋体" w:eastAsia="宋体" w:hAnsi="宋体" w:cs="宋体" w:hint="eastAsia"/>
          <w:color w:val="000000"/>
          <w:sz w:val="21"/>
          <w:szCs w:val="21"/>
        </w:rPr>
        <w:t>④</w:t>
      </w:r>
      <w:r w:rsidRPr="00D1221F">
        <w:rPr>
          <w:rFonts w:ascii="Verdana" w:eastAsia="宋体" w:hAnsi="Verdana" w:cs="宋体"/>
          <w:color w:val="000000"/>
          <w:sz w:val="21"/>
          <w:szCs w:val="21"/>
        </w:rPr>
        <w:t>合并其他有致命危险的疾病。</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w:t>
      </w:r>
      <w:r w:rsidRPr="00D1221F">
        <w:rPr>
          <w:rFonts w:ascii="宋体" w:eastAsia="宋体" w:hAnsi="宋体" w:cs="宋体" w:hint="eastAsia"/>
          <w:color w:val="000000"/>
          <w:sz w:val="21"/>
          <w:szCs w:val="21"/>
        </w:rPr>
        <w:t>⑤</w:t>
      </w:r>
      <w:r w:rsidRPr="00D1221F">
        <w:rPr>
          <w:rFonts w:ascii="Verdana" w:eastAsia="宋体" w:hAnsi="Verdana" w:cs="宋体"/>
          <w:color w:val="000000"/>
          <w:sz w:val="21"/>
          <w:szCs w:val="21"/>
        </w:rPr>
        <w:t>一般受者年龄不超过</w:t>
      </w:r>
      <w:r w:rsidRPr="00D1221F">
        <w:rPr>
          <w:rFonts w:ascii="Verdana" w:eastAsia="宋体" w:hAnsi="Verdana" w:cs="宋体"/>
          <w:color w:val="000000"/>
          <w:sz w:val="21"/>
          <w:szCs w:val="21"/>
        </w:rPr>
        <w:t>65</w:t>
      </w:r>
      <w:r w:rsidRPr="00D1221F">
        <w:rPr>
          <w:rFonts w:ascii="Verdana" w:eastAsia="宋体" w:hAnsi="Verdana" w:cs="宋体"/>
          <w:color w:val="000000"/>
          <w:sz w:val="21"/>
          <w:szCs w:val="21"/>
        </w:rPr>
        <w:t>岁。</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（二）实施脐带血造血干细胞治疗前应当向患者和其家属告知治疗目的、风险、注意事项及可能发生的并发症等，并签署知情同意书。</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（三）建立脐带血造血干细胞治疗术后随访制度，连续</w:t>
      </w:r>
      <w:r w:rsidRPr="00D1221F">
        <w:rPr>
          <w:rFonts w:ascii="Verdana" w:eastAsia="宋体" w:hAnsi="Verdana" w:cs="宋体"/>
          <w:color w:val="000000"/>
          <w:sz w:val="21"/>
          <w:szCs w:val="21"/>
        </w:rPr>
        <w:t>3</w:t>
      </w:r>
      <w:r w:rsidRPr="00D1221F">
        <w:rPr>
          <w:rFonts w:ascii="Verdana" w:eastAsia="宋体" w:hAnsi="Verdana" w:cs="宋体"/>
          <w:color w:val="000000"/>
          <w:sz w:val="21"/>
          <w:szCs w:val="21"/>
        </w:rPr>
        <w:t>年平均</w:t>
      </w:r>
      <w:r w:rsidRPr="00D1221F">
        <w:rPr>
          <w:rFonts w:ascii="Verdana" w:eastAsia="宋体" w:hAnsi="Verdana" w:cs="宋体"/>
          <w:color w:val="000000"/>
          <w:sz w:val="21"/>
          <w:szCs w:val="21"/>
        </w:rPr>
        <w:t>1</w:t>
      </w:r>
      <w:r w:rsidRPr="00D1221F">
        <w:rPr>
          <w:rFonts w:ascii="Verdana" w:eastAsia="宋体" w:hAnsi="Verdana" w:cs="宋体"/>
          <w:color w:val="000000"/>
          <w:sz w:val="21"/>
          <w:szCs w:val="21"/>
        </w:rPr>
        <w:t>年存活率不低于</w:t>
      </w:r>
      <w:r w:rsidRPr="00D1221F">
        <w:rPr>
          <w:rFonts w:ascii="Verdana" w:eastAsia="宋体" w:hAnsi="Verdana" w:cs="宋体"/>
          <w:color w:val="000000"/>
          <w:sz w:val="21"/>
          <w:szCs w:val="21"/>
        </w:rPr>
        <w:t>50%.</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（四）在完成每例次脐带血造血干细胞治疗后按照相关规定将移植相关信息上报卫生行政部门。</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五）医疗机构和医师按照相关规定接受省级卫生行政部门组织的脐带血造血干细胞治疗技术相关情况考核。包括脐带血造血干细胞治疗技术能力审核，如移植植入率、严重并发症、死亡病例、医疗事故发生情况、患者生存质量和随访情况等。</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四、其他管理要求</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lastRenderedPageBreak/>
        <w:t xml:space="preserve">　　（一）脐带血造血干细胞来源合法，建立脐带血造血干细胞来源登记制度，保证脐带血造血干细胞来源可追溯。不得通过脐带血造血干细胞治疗技术谋取不正当利益，不得泄露脐带血造血干细胞捐献者资料。</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（二）供治疗的脐带血造血干细胞由卫生部批准设置的脐带血造血干细胞库提供。</w:t>
      </w:r>
    </w:p>
    <w:p w:rsidR="00D1221F" w:rsidRPr="00D1221F" w:rsidRDefault="00D1221F" w:rsidP="00D1221F">
      <w:pPr>
        <w:adjustRightInd/>
        <w:snapToGrid/>
        <w:spacing w:before="150" w:after="150" w:line="345" w:lineRule="atLeast"/>
        <w:jc w:val="center"/>
        <w:rPr>
          <w:rFonts w:ascii="Verdana" w:eastAsia="宋体" w:hAnsi="Verdana" w:cs="宋体"/>
          <w:color w:val="000000"/>
          <w:sz w:val="21"/>
          <w:szCs w:val="21"/>
        </w:rPr>
      </w:pPr>
      <w:r w:rsidRPr="00D1221F">
        <w:rPr>
          <w:rFonts w:ascii="Verdana" w:eastAsia="宋体" w:hAnsi="Verdana" w:cs="宋体"/>
          <w:color w:val="000000"/>
          <w:sz w:val="21"/>
          <w:szCs w:val="21"/>
        </w:rPr>
        <w:t xml:space="preserve">　　（三）严格执行国家物价政策，按照规定收费。</w:t>
      </w:r>
    </w:p>
    <w:p w:rsidR="00D1221F" w:rsidRPr="00D1221F" w:rsidRDefault="00D1221F" w:rsidP="00D1221F">
      <w:pPr>
        <w:adjustRightInd/>
        <w:snapToGrid/>
        <w:spacing w:after="0" w:line="600" w:lineRule="atLeast"/>
        <w:jc w:val="right"/>
        <w:rPr>
          <w:rFonts w:ascii="Verdana" w:eastAsia="宋体" w:hAnsi="Verdana" w:cs="宋体"/>
          <w:color w:val="000000"/>
          <w:sz w:val="21"/>
          <w:szCs w:val="21"/>
        </w:rPr>
      </w:pPr>
      <w:r w:rsidRPr="00D1221F">
        <w:rPr>
          <w:rFonts w:ascii="Verdana" w:eastAsia="宋体" w:hAnsi="Verdana" w:cs="宋体"/>
          <w:color w:val="000000"/>
          <w:sz w:val="21"/>
          <w:szCs w:val="21"/>
        </w:rPr>
        <w:t>卫生部办公厅</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677F0D"/>
    <w:rsid w:val="008B7726"/>
    <w:rsid w:val="00D1221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221F"/>
    <w:rPr>
      <w:b/>
      <w:bCs/>
    </w:rPr>
  </w:style>
</w:styles>
</file>

<file path=word/webSettings.xml><?xml version="1.0" encoding="utf-8"?>
<w:webSettings xmlns:r="http://schemas.openxmlformats.org/officeDocument/2006/relationships" xmlns:w="http://schemas.openxmlformats.org/wordprocessingml/2006/main">
  <w:divs>
    <w:div w:id="1915623998">
      <w:bodyDiv w:val="1"/>
      <w:marLeft w:val="0"/>
      <w:marRight w:val="0"/>
      <w:marTop w:val="0"/>
      <w:marBottom w:val="0"/>
      <w:divBdr>
        <w:top w:val="none" w:sz="0" w:space="0" w:color="auto"/>
        <w:left w:val="none" w:sz="0" w:space="0" w:color="auto"/>
        <w:bottom w:val="none" w:sz="0" w:space="0" w:color="auto"/>
        <w:right w:val="none" w:sz="0" w:space="0" w:color="auto"/>
      </w:divBdr>
      <w:divsChild>
        <w:div w:id="2027906705">
          <w:marLeft w:val="0"/>
          <w:marRight w:val="0"/>
          <w:marTop w:val="0"/>
          <w:marBottom w:val="0"/>
          <w:divBdr>
            <w:top w:val="none" w:sz="0" w:space="0" w:color="auto"/>
            <w:left w:val="none" w:sz="0" w:space="0" w:color="auto"/>
            <w:bottom w:val="none" w:sz="0" w:space="0" w:color="auto"/>
            <w:right w:val="none" w:sz="0" w:space="0" w:color="auto"/>
          </w:divBdr>
          <w:divsChild>
            <w:div w:id="425619187">
              <w:marLeft w:val="0"/>
              <w:marRight w:val="0"/>
              <w:marTop w:val="0"/>
              <w:marBottom w:val="0"/>
              <w:divBdr>
                <w:top w:val="none" w:sz="0" w:space="0" w:color="auto"/>
                <w:left w:val="none" w:sz="0" w:space="0" w:color="auto"/>
                <w:bottom w:val="none" w:sz="0" w:space="0" w:color="auto"/>
                <w:right w:val="none" w:sz="0" w:space="0" w:color="auto"/>
              </w:divBdr>
              <w:divsChild>
                <w:div w:id="1531990716">
                  <w:marLeft w:val="0"/>
                  <w:marRight w:val="0"/>
                  <w:marTop w:val="0"/>
                  <w:marBottom w:val="0"/>
                  <w:divBdr>
                    <w:top w:val="single" w:sz="6" w:space="15" w:color="F19C97"/>
                    <w:left w:val="single" w:sz="6" w:space="15" w:color="F19C97"/>
                    <w:bottom w:val="single" w:sz="6" w:space="0" w:color="FEC7C4"/>
                    <w:right w:val="single" w:sz="6" w:space="15" w:color="F19C97"/>
                  </w:divBdr>
                  <w:divsChild>
                    <w:div w:id="10494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2</cp:revision>
  <dcterms:created xsi:type="dcterms:W3CDTF">2008-09-11T17:20:00Z</dcterms:created>
  <dcterms:modified xsi:type="dcterms:W3CDTF">2017-07-12T06:20:00Z</dcterms:modified>
</cp:coreProperties>
</file>